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8E7" w:rsidRPr="00C85F4C" w:rsidRDefault="003521CE" w:rsidP="003521CE">
      <w:pPr>
        <w:spacing w:after="0" w:line="240" w:lineRule="auto"/>
        <w:rPr>
          <w:rFonts w:ascii="Times New Roman" w:hAnsi="Times New Roman" w:cs="Times New Roman"/>
          <w:sz w:val="24"/>
          <w:szCs w:val="24"/>
        </w:rPr>
      </w:pPr>
      <w:bookmarkStart w:id="0" w:name="_GoBack"/>
      <w:bookmarkEnd w:id="0"/>
      <w:r w:rsidRPr="00C85F4C">
        <w:rPr>
          <w:rFonts w:ascii="Times New Roman" w:eastAsia="Times New Roman" w:hAnsi="Times New Roman" w:cs="Times New Roman"/>
          <w:b/>
          <w:bCs/>
          <w:color w:val="000000"/>
          <w:sz w:val="24"/>
          <w:szCs w:val="24"/>
        </w:rPr>
        <w:t xml:space="preserve">RESOLUÇÃO CSDP Nº </w:t>
      </w:r>
      <w:r w:rsidR="00C85F4C" w:rsidRPr="00C85F4C">
        <w:rPr>
          <w:rFonts w:ascii="Times New Roman" w:eastAsia="Times New Roman" w:hAnsi="Times New Roman" w:cs="Times New Roman"/>
          <w:b/>
          <w:bCs/>
          <w:color w:val="000000"/>
          <w:sz w:val="24"/>
          <w:szCs w:val="24"/>
        </w:rPr>
        <w:t>200</w:t>
      </w:r>
      <w:r w:rsidRPr="00C85F4C">
        <w:rPr>
          <w:rFonts w:ascii="Times New Roman" w:eastAsia="Times New Roman" w:hAnsi="Times New Roman" w:cs="Times New Roman"/>
          <w:b/>
          <w:bCs/>
          <w:color w:val="000000"/>
          <w:sz w:val="24"/>
          <w:szCs w:val="24"/>
        </w:rPr>
        <w:t>, DE 18 DE DEZEMBRO DE 2017</w:t>
      </w:r>
      <w:r w:rsidR="000B177D" w:rsidRPr="00C85F4C">
        <w:rPr>
          <w:rFonts w:ascii="Times New Roman" w:eastAsia="Times New Roman" w:hAnsi="Times New Roman" w:cs="Times New Roman"/>
          <w:b/>
          <w:bCs/>
          <w:color w:val="000000"/>
          <w:sz w:val="24"/>
          <w:szCs w:val="24"/>
        </w:rPr>
        <w:t>.</w:t>
      </w:r>
    </w:p>
    <w:p w:rsidR="003378E7" w:rsidRPr="00C85F4C" w:rsidRDefault="003378E7" w:rsidP="003521CE">
      <w:pPr>
        <w:spacing w:after="0" w:line="240" w:lineRule="auto"/>
        <w:rPr>
          <w:rFonts w:ascii="Times New Roman" w:eastAsia="Times New Roman" w:hAnsi="Times New Roman" w:cs="Times New Roman"/>
          <w:color w:val="000000"/>
          <w:sz w:val="24"/>
          <w:szCs w:val="24"/>
        </w:rPr>
      </w:pPr>
    </w:p>
    <w:p w:rsidR="003378E7" w:rsidRPr="00C85F4C" w:rsidRDefault="000B177D" w:rsidP="003521CE">
      <w:pPr>
        <w:spacing w:after="0" w:line="240" w:lineRule="auto"/>
        <w:ind w:left="3969"/>
        <w:jc w:val="both"/>
        <w:rPr>
          <w:rFonts w:ascii="Times New Roman" w:hAnsi="Times New Roman" w:cs="Times New Roman"/>
          <w:sz w:val="24"/>
          <w:szCs w:val="24"/>
        </w:rPr>
      </w:pPr>
      <w:r w:rsidRPr="00C85F4C">
        <w:rPr>
          <w:rFonts w:ascii="Times New Roman" w:hAnsi="Times New Roman" w:cs="Times New Roman"/>
          <w:sz w:val="24"/>
          <w:szCs w:val="24"/>
        </w:rPr>
        <w:t>Aprova o expediente da Defensoria Pública durante o período natalino e de festas de ano novo e dá outras providências.</w:t>
      </w:r>
    </w:p>
    <w:p w:rsidR="003378E7" w:rsidRPr="00C85F4C" w:rsidRDefault="003378E7" w:rsidP="003521CE">
      <w:pPr>
        <w:spacing w:after="0" w:line="240" w:lineRule="auto"/>
        <w:ind w:left="3969"/>
        <w:jc w:val="both"/>
        <w:rPr>
          <w:rFonts w:ascii="Times New Roman" w:hAnsi="Times New Roman" w:cs="Times New Roman"/>
          <w:sz w:val="24"/>
          <w:szCs w:val="24"/>
        </w:rPr>
      </w:pPr>
    </w:p>
    <w:p w:rsidR="003378E7" w:rsidRPr="00C85F4C" w:rsidRDefault="000B177D" w:rsidP="003521CE">
      <w:pPr>
        <w:pStyle w:val="NormalWeb"/>
        <w:spacing w:beforeAutospacing="0" w:after="0" w:afterAutospacing="0"/>
        <w:jc w:val="both"/>
      </w:pPr>
      <w:r w:rsidRPr="00C85F4C">
        <w:t>O CONSELHO SUPERIOR DA DEFENSORIA PÚBLICA DO ESTADO DO PARÁ, no uso de suas atribuições legais que lhe confere a Lei Complementar Nº 054, de 07 de fevereiro de 2006;</w:t>
      </w:r>
    </w:p>
    <w:p w:rsidR="003378E7" w:rsidRPr="00C85F4C" w:rsidRDefault="003378E7" w:rsidP="003521CE">
      <w:pPr>
        <w:pStyle w:val="Corpodetexto"/>
        <w:spacing w:after="0" w:line="240" w:lineRule="auto"/>
        <w:jc w:val="both"/>
        <w:rPr>
          <w:rFonts w:ascii="Times New Roman" w:hAnsi="Times New Roman" w:cs="Times New Roman"/>
          <w:sz w:val="24"/>
          <w:szCs w:val="24"/>
        </w:rPr>
      </w:pPr>
    </w:p>
    <w:p w:rsidR="003378E7" w:rsidRPr="00C85F4C" w:rsidRDefault="000B177D" w:rsidP="003521CE">
      <w:pPr>
        <w:pStyle w:val="Corpodetexto"/>
        <w:spacing w:after="0" w:line="240" w:lineRule="auto"/>
        <w:jc w:val="both"/>
        <w:rPr>
          <w:rFonts w:ascii="Times New Roman" w:hAnsi="Times New Roman" w:cs="Times New Roman"/>
          <w:color w:val="000000"/>
          <w:sz w:val="24"/>
          <w:szCs w:val="24"/>
        </w:rPr>
      </w:pPr>
      <w:r w:rsidRPr="00C85F4C">
        <w:rPr>
          <w:rFonts w:ascii="Times New Roman" w:hAnsi="Times New Roman" w:cs="Times New Roman"/>
          <w:color w:val="000000"/>
          <w:sz w:val="24"/>
          <w:szCs w:val="24"/>
        </w:rPr>
        <w:t>CONSIDERANDO o disposto nos artigos 4°, I; 8°, I, IV, VIII e 11, I</w:t>
      </w:r>
      <w:r w:rsidR="0085016B">
        <w:rPr>
          <w:rFonts w:ascii="Times New Roman" w:hAnsi="Times New Roman" w:cs="Times New Roman"/>
          <w:color w:val="000000"/>
          <w:sz w:val="24"/>
          <w:szCs w:val="24"/>
        </w:rPr>
        <w:t>,</w:t>
      </w:r>
      <w:r w:rsidRPr="00C85F4C">
        <w:rPr>
          <w:rFonts w:ascii="Times New Roman" w:hAnsi="Times New Roman" w:cs="Times New Roman"/>
          <w:color w:val="000000"/>
          <w:sz w:val="24"/>
          <w:szCs w:val="24"/>
        </w:rPr>
        <w:t xml:space="preserve"> da Lei Complementar Estadual n° 054, de 07 de fevereiro de 2006;</w:t>
      </w:r>
    </w:p>
    <w:p w:rsidR="003378E7" w:rsidRPr="00C85F4C" w:rsidRDefault="003378E7" w:rsidP="003521CE">
      <w:pPr>
        <w:pStyle w:val="Corpodetexto"/>
        <w:spacing w:after="0" w:line="240" w:lineRule="auto"/>
        <w:jc w:val="both"/>
        <w:rPr>
          <w:rFonts w:ascii="Times New Roman" w:hAnsi="Times New Roman" w:cs="Times New Roman"/>
          <w:sz w:val="24"/>
          <w:szCs w:val="24"/>
        </w:rPr>
      </w:pPr>
    </w:p>
    <w:p w:rsidR="003378E7" w:rsidRPr="00C85F4C" w:rsidRDefault="000B177D" w:rsidP="003521CE">
      <w:pPr>
        <w:pStyle w:val="NormalWeb"/>
        <w:spacing w:beforeAutospacing="0" w:after="0" w:afterAutospacing="0"/>
        <w:jc w:val="both"/>
      </w:pPr>
      <w:r w:rsidRPr="00C85F4C">
        <w:t>CONSIDERANDO a necessidade de assegurar o cumprimento ao disposto no art. 2º da Lei Complementar nº 054 2006, de 07 de fevereiro de 2006, e no art. 134 da Constituição Federal, quanto ao funcionamento da Defensoria Pública, de modo a manter permanente disponibilidade da prestação da assistência jurídica integral em todo o Estado do Pará e propiciar a continuidade do amplo acesso à Justiça, em favor dos legalmente necessitados, por ser instituição essencial a função jurisdicional do Estado;</w:t>
      </w:r>
    </w:p>
    <w:p w:rsidR="003378E7" w:rsidRPr="00C85F4C" w:rsidRDefault="003378E7" w:rsidP="003521CE">
      <w:pPr>
        <w:pStyle w:val="NormalWeb"/>
        <w:spacing w:beforeAutospacing="0" w:after="0" w:afterAutospacing="0"/>
        <w:jc w:val="both"/>
      </w:pPr>
    </w:p>
    <w:p w:rsidR="003378E7" w:rsidRPr="00C85F4C" w:rsidRDefault="000B177D" w:rsidP="003521CE">
      <w:pPr>
        <w:pStyle w:val="NormalWeb"/>
        <w:spacing w:beforeAutospacing="0" w:after="0" w:afterAutospacing="0"/>
        <w:jc w:val="both"/>
      </w:pPr>
      <w:r w:rsidRPr="00C85F4C">
        <w:t>CONSIDERANDO que a procura pelos serviços da Defensoria Pública diminui de forma considerável no período das festas natalinas e de ano novo;</w:t>
      </w:r>
    </w:p>
    <w:p w:rsidR="003378E7" w:rsidRPr="00C85F4C" w:rsidRDefault="003378E7" w:rsidP="003521CE">
      <w:pPr>
        <w:pStyle w:val="NormalWeb"/>
        <w:spacing w:beforeAutospacing="0" w:after="0" w:afterAutospacing="0"/>
        <w:jc w:val="both"/>
      </w:pPr>
    </w:p>
    <w:p w:rsidR="003378E7" w:rsidRPr="00C85F4C" w:rsidRDefault="000B177D" w:rsidP="003521CE">
      <w:pPr>
        <w:pStyle w:val="NormalWeb"/>
        <w:spacing w:beforeAutospacing="0" w:after="0" w:afterAutospacing="0"/>
        <w:jc w:val="both"/>
      </w:pPr>
      <w:r w:rsidRPr="00C85F4C">
        <w:t>CONSIDERANDO que a Resolução nº 244, de 12/09/2016, do Conselho Nacional de Justiça – CNJ autoriza aos Tribunais de Justiça dos Estados a suspensão do expediente forense, configurando o recesso judiciário no período de 20 de dezembro a 6 de janeiro, garantindo atendimento aos casos urgentes, novos ou em curso, por meio de sistema de plantões;</w:t>
      </w:r>
    </w:p>
    <w:p w:rsidR="003378E7" w:rsidRPr="00C85F4C" w:rsidRDefault="003378E7" w:rsidP="003521CE">
      <w:pPr>
        <w:pStyle w:val="NormalWeb"/>
        <w:spacing w:beforeAutospacing="0" w:after="0" w:afterAutospacing="0"/>
        <w:jc w:val="both"/>
      </w:pPr>
    </w:p>
    <w:p w:rsidR="003378E7" w:rsidRPr="00C85F4C" w:rsidRDefault="000B177D" w:rsidP="003521CE">
      <w:pPr>
        <w:pStyle w:val="NormalWeb"/>
        <w:spacing w:beforeAutospacing="0" w:after="0" w:afterAutospacing="0"/>
        <w:jc w:val="both"/>
      </w:pPr>
      <w:r w:rsidRPr="00C85F4C">
        <w:t>CONSIDERANDO que ano a ano o Tribunal de Justiça do Estado do Pará vem editando atos instituindo o recesso judiciário no período de 20 de dezembro a 6 de janeiro;</w:t>
      </w:r>
    </w:p>
    <w:p w:rsidR="003378E7" w:rsidRPr="00C85F4C" w:rsidRDefault="003378E7" w:rsidP="003521CE">
      <w:pPr>
        <w:pStyle w:val="NormalWeb"/>
        <w:spacing w:beforeAutospacing="0" w:after="0" w:afterAutospacing="0"/>
        <w:jc w:val="both"/>
      </w:pPr>
    </w:p>
    <w:p w:rsidR="003378E7" w:rsidRPr="00C85F4C" w:rsidRDefault="000B177D" w:rsidP="003521CE">
      <w:pPr>
        <w:spacing w:after="0" w:line="240" w:lineRule="auto"/>
        <w:jc w:val="both"/>
        <w:rPr>
          <w:rFonts w:ascii="Times New Roman" w:hAnsi="Times New Roman" w:cs="Times New Roman"/>
          <w:sz w:val="24"/>
          <w:szCs w:val="24"/>
        </w:rPr>
      </w:pPr>
      <w:r w:rsidRPr="00C85F4C">
        <w:rPr>
          <w:rFonts w:ascii="Times New Roman" w:eastAsia="Times New Roman" w:hAnsi="Times New Roman" w:cs="Times New Roman"/>
          <w:color w:val="000000"/>
          <w:sz w:val="24"/>
          <w:szCs w:val="24"/>
        </w:rPr>
        <w:t>CONSIDERANDO a deliberação unânime do Egrégio Conselho Superior da Def</w:t>
      </w:r>
      <w:r w:rsidR="00C85F4C" w:rsidRPr="00C85F4C">
        <w:rPr>
          <w:rFonts w:ascii="Times New Roman" w:eastAsia="Times New Roman" w:hAnsi="Times New Roman" w:cs="Times New Roman"/>
          <w:color w:val="000000"/>
          <w:sz w:val="24"/>
          <w:szCs w:val="24"/>
        </w:rPr>
        <w:t>ensoria Pública do Estado na 156</w:t>
      </w:r>
      <w:r w:rsidRPr="00C85F4C">
        <w:rPr>
          <w:rFonts w:ascii="Times New Roman" w:eastAsia="Times New Roman" w:hAnsi="Times New Roman" w:cs="Times New Roman"/>
          <w:color w:val="000000"/>
          <w:sz w:val="24"/>
          <w:szCs w:val="24"/>
        </w:rPr>
        <w:t>ª Sessã</w:t>
      </w:r>
      <w:r w:rsidR="003521CE" w:rsidRPr="00C85F4C">
        <w:rPr>
          <w:rFonts w:ascii="Times New Roman" w:eastAsia="Times New Roman" w:hAnsi="Times New Roman" w:cs="Times New Roman"/>
          <w:color w:val="000000"/>
          <w:sz w:val="24"/>
          <w:szCs w:val="24"/>
        </w:rPr>
        <w:t>o Ordinária, realizada no dia 18</w:t>
      </w:r>
      <w:r w:rsidRPr="00C85F4C">
        <w:rPr>
          <w:rFonts w:ascii="Times New Roman" w:eastAsia="Times New Roman" w:hAnsi="Times New Roman" w:cs="Times New Roman"/>
          <w:color w:val="000000"/>
          <w:sz w:val="24"/>
          <w:szCs w:val="24"/>
        </w:rPr>
        <w:t xml:space="preserve"> de dezemb</w:t>
      </w:r>
      <w:r w:rsidR="003521CE" w:rsidRPr="00C85F4C">
        <w:rPr>
          <w:rFonts w:ascii="Times New Roman" w:eastAsia="Times New Roman" w:hAnsi="Times New Roman" w:cs="Times New Roman"/>
          <w:color w:val="000000"/>
          <w:sz w:val="24"/>
          <w:szCs w:val="24"/>
        </w:rPr>
        <w:t>ro de 2017</w:t>
      </w:r>
      <w:r w:rsidRPr="00C85F4C">
        <w:rPr>
          <w:rFonts w:ascii="Times New Roman" w:eastAsia="Times New Roman" w:hAnsi="Times New Roman" w:cs="Times New Roman"/>
          <w:color w:val="000000"/>
          <w:sz w:val="24"/>
          <w:szCs w:val="24"/>
        </w:rPr>
        <w:t>;</w:t>
      </w:r>
    </w:p>
    <w:p w:rsidR="003378E7" w:rsidRPr="00C85F4C" w:rsidRDefault="003378E7" w:rsidP="003521CE">
      <w:pPr>
        <w:pStyle w:val="NormalWeb"/>
        <w:spacing w:beforeAutospacing="0" w:after="0" w:afterAutospacing="0"/>
        <w:jc w:val="both"/>
      </w:pPr>
    </w:p>
    <w:p w:rsidR="003378E7" w:rsidRPr="00C85F4C" w:rsidRDefault="000B177D" w:rsidP="003521CE">
      <w:pPr>
        <w:pStyle w:val="NormalWeb"/>
        <w:spacing w:beforeAutospacing="0" w:after="0" w:afterAutospacing="0"/>
        <w:jc w:val="both"/>
      </w:pPr>
      <w:r w:rsidRPr="00C85F4C">
        <w:t>RESOLVE:</w:t>
      </w:r>
    </w:p>
    <w:p w:rsidR="003378E7" w:rsidRPr="00C85F4C" w:rsidRDefault="003378E7" w:rsidP="003521CE">
      <w:pPr>
        <w:pStyle w:val="NormalWeb"/>
        <w:spacing w:beforeAutospacing="0" w:after="0" w:afterAutospacing="0"/>
        <w:ind w:firstLine="1800"/>
        <w:jc w:val="both"/>
      </w:pPr>
    </w:p>
    <w:p w:rsidR="003378E7" w:rsidRPr="00C85F4C" w:rsidRDefault="000B177D" w:rsidP="003521CE">
      <w:pPr>
        <w:pStyle w:val="NormalWeb"/>
        <w:spacing w:beforeAutospacing="0" w:after="0" w:afterAutospacing="0"/>
        <w:jc w:val="both"/>
      </w:pPr>
      <w:r w:rsidRPr="00C85F4C">
        <w:t>Art. 1º Fica suspenso o atendimento ao público na Defensoria Pública, em todo o Estado do Pará, no período compreendido entr</w:t>
      </w:r>
      <w:r w:rsidR="003521CE" w:rsidRPr="00C85F4C">
        <w:t>e os dias 20 de dezembro de 2017 e 06 de janeiro de 2018</w:t>
      </w:r>
      <w:r w:rsidRPr="00C85F4C">
        <w:t>, dedicado às festas natalinas e festas de final de ano, garantindo-se o atendimento às questões de urgência.</w:t>
      </w:r>
    </w:p>
    <w:p w:rsidR="003378E7" w:rsidRPr="00C85F4C" w:rsidRDefault="003378E7" w:rsidP="003521CE">
      <w:pPr>
        <w:pStyle w:val="NormalWeb"/>
        <w:spacing w:beforeAutospacing="0" w:after="0" w:afterAutospacing="0"/>
        <w:jc w:val="both"/>
      </w:pPr>
    </w:p>
    <w:p w:rsidR="003378E7" w:rsidRPr="00C85F4C" w:rsidRDefault="000B177D" w:rsidP="003521CE">
      <w:pPr>
        <w:pStyle w:val="NormalWeb"/>
        <w:spacing w:beforeAutospacing="0" w:after="0" w:afterAutospacing="0"/>
        <w:jc w:val="both"/>
      </w:pPr>
      <w:r w:rsidRPr="00C85F4C">
        <w:t>Art. 2º Em face da necessidade de funcionamento ininterrupto da Defensoria Pública para atender demandas de urgência, a fim de dar eficácia, também, ao disposto no art. 93, inciso XII, da Constituição da República, fica assegurado o atendimento ao público para as questões urgentes, em regime de plantão, na capital e no i</w:t>
      </w:r>
      <w:r w:rsidR="003521CE" w:rsidRPr="00C85F4C">
        <w:t>nterior, nos dias 20, 21, 22</w:t>
      </w:r>
      <w:r w:rsidRPr="00C85F4C">
        <w:t>, 26, 27,</w:t>
      </w:r>
      <w:r w:rsidR="003521CE" w:rsidRPr="00C85F4C">
        <w:t xml:space="preserve"> 28 e 29 de dezembro de 2017 e 2, 3, 4 e 5 de janeiro de 2018</w:t>
      </w:r>
      <w:r w:rsidRPr="00C85F4C">
        <w:t>, no horário de 8 às 13 horas.</w:t>
      </w:r>
    </w:p>
    <w:p w:rsidR="003378E7" w:rsidRPr="00C85F4C" w:rsidRDefault="003378E7" w:rsidP="003521CE">
      <w:pPr>
        <w:pStyle w:val="NormalWeb"/>
        <w:spacing w:beforeAutospacing="0" w:after="0" w:afterAutospacing="0"/>
        <w:jc w:val="both"/>
      </w:pPr>
    </w:p>
    <w:p w:rsidR="003378E7" w:rsidRPr="00C85F4C" w:rsidRDefault="000B177D" w:rsidP="003521CE">
      <w:pPr>
        <w:pStyle w:val="NormalWeb"/>
        <w:spacing w:beforeAutospacing="0" w:after="0" w:afterAutospacing="0"/>
        <w:jc w:val="both"/>
      </w:pPr>
      <w:r w:rsidRPr="00C85F4C">
        <w:lastRenderedPageBreak/>
        <w:t>§1º Considera-se como urgência que caracteriza a atuação da Defensoria Pública no período mencionado no artigo 1º:</w:t>
      </w:r>
    </w:p>
    <w:p w:rsidR="003378E7" w:rsidRPr="00C85F4C" w:rsidRDefault="003378E7" w:rsidP="003521CE">
      <w:pPr>
        <w:pStyle w:val="NormalWeb"/>
        <w:spacing w:beforeAutospacing="0" w:after="0" w:afterAutospacing="0"/>
        <w:jc w:val="both"/>
      </w:pPr>
    </w:p>
    <w:p w:rsidR="003378E7" w:rsidRPr="00C85F4C" w:rsidRDefault="000B177D" w:rsidP="003521CE">
      <w:pPr>
        <w:pStyle w:val="NormalWeb"/>
        <w:spacing w:beforeAutospacing="0" w:after="0" w:afterAutospacing="0"/>
        <w:jc w:val="both"/>
      </w:pPr>
      <w:r w:rsidRPr="00C85F4C">
        <w:t xml:space="preserve">I – </w:t>
      </w:r>
      <w:proofErr w:type="gramStart"/>
      <w:r w:rsidRPr="00C85F4C">
        <w:t>a</w:t>
      </w:r>
      <w:proofErr w:type="gramEnd"/>
      <w:r w:rsidRPr="00C85F4C">
        <w:t xml:space="preserve"> atuação na área criminal visando ao recebimento de comunicação de prisão em flagrante, a participação em audiência de custódia, os pedidos de relaxamento de prisão ilegal e a impetração de </w:t>
      </w:r>
      <w:r w:rsidRPr="00C85F4C">
        <w:rPr>
          <w:i/>
          <w:iCs/>
        </w:rPr>
        <w:t>habeas corpus</w:t>
      </w:r>
      <w:r w:rsidRPr="00C85F4C">
        <w:t xml:space="preserve"> e outras medidas judiciais e administrativas para assegurar direitos fundamentais da pessoa presa;</w:t>
      </w:r>
    </w:p>
    <w:p w:rsidR="003378E7" w:rsidRPr="00C85F4C" w:rsidRDefault="003378E7" w:rsidP="003521CE">
      <w:pPr>
        <w:pStyle w:val="NormalWeb"/>
        <w:spacing w:beforeAutospacing="0" w:after="0" w:afterAutospacing="0"/>
        <w:jc w:val="both"/>
      </w:pPr>
    </w:p>
    <w:p w:rsidR="003378E7" w:rsidRPr="00C85F4C" w:rsidRDefault="000B177D" w:rsidP="003521CE">
      <w:pPr>
        <w:pStyle w:val="NormalWeb"/>
        <w:spacing w:beforeAutospacing="0" w:after="0" w:afterAutospacing="0"/>
        <w:jc w:val="both"/>
      </w:pPr>
      <w:r w:rsidRPr="00C85F4C">
        <w:t xml:space="preserve">II – </w:t>
      </w:r>
      <w:proofErr w:type="gramStart"/>
      <w:r w:rsidRPr="00C85F4C">
        <w:t>a</w:t>
      </w:r>
      <w:proofErr w:type="gramEnd"/>
      <w:r w:rsidRPr="00C85F4C">
        <w:t xml:space="preserve"> atuação na área cível de modo a atender as medidas de extrema urgência e que, se não apreciadas, possam causar irreparável dano ao interessado e as medidas necessárias para evitar perecimento de direito.</w:t>
      </w:r>
    </w:p>
    <w:p w:rsidR="003378E7" w:rsidRPr="00C85F4C" w:rsidRDefault="003378E7" w:rsidP="003521CE">
      <w:pPr>
        <w:pStyle w:val="NormalWeb"/>
        <w:spacing w:beforeAutospacing="0" w:after="0" w:afterAutospacing="0"/>
        <w:jc w:val="both"/>
      </w:pPr>
    </w:p>
    <w:p w:rsidR="003378E7" w:rsidRPr="00C85F4C" w:rsidRDefault="000B177D" w:rsidP="003521CE">
      <w:pPr>
        <w:pStyle w:val="NormalWeb"/>
        <w:spacing w:beforeAutospacing="0" w:after="0" w:afterAutospacing="0"/>
        <w:jc w:val="both"/>
      </w:pPr>
      <w:r w:rsidRPr="00C85F4C">
        <w:t>§2º Na capital do Estado e nas comarcas do interior com mais de um defensor público atuando, poderá ser feita escala de revezamento de defensores e servidores públicos a fim de manter sempre a presença de um deles para atendimento das questões urgentes.</w:t>
      </w:r>
    </w:p>
    <w:p w:rsidR="003378E7" w:rsidRPr="00C85F4C" w:rsidRDefault="003378E7" w:rsidP="003521CE">
      <w:pPr>
        <w:pStyle w:val="NormalWeb"/>
        <w:spacing w:beforeAutospacing="0" w:after="0" w:afterAutospacing="0"/>
        <w:jc w:val="both"/>
        <w:rPr>
          <w:color w:val="FF0000"/>
        </w:rPr>
      </w:pPr>
    </w:p>
    <w:p w:rsidR="003378E7" w:rsidRPr="00C85F4C" w:rsidRDefault="000B177D" w:rsidP="003521CE">
      <w:pPr>
        <w:pStyle w:val="NormalWeb"/>
        <w:spacing w:beforeAutospacing="0" w:after="0" w:afterAutospacing="0"/>
        <w:jc w:val="both"/>
        <w:rPr>
          <w:color w:val="FF0000"/>
        </w:rPr>
      </w:pPr>
      <w:r w:rsidRPr="00C85F4C">
        <w:rPr>
          <w:color w:val="FF0000"/>
        </w:rPr>
        <w:t>§3º O Defensor Público que atuar nas datas mencionadas no caput deste artigo terá direito a uma folga por dia trabalhado.</w:t>
      </w:r>
    </w:p>
    <w:p w:rsidR="003378E7" w:rsidRPr="00C85F4C" w:rsidRDefault="003378E7" w:rsidP="003521CE">
      <w:pPr>
        <w:pStyle w:val="NormalWeb"/>
        <w:spacing w:beforeAutospacing="0" w:after="0" w:afterAutospacing="0"/>
        <w:jc w:val="both"/>
      </w:pPr>
    </w:p>
    <w:p w:rsidR="003378E7" w:rsidRPr="00C85F4C" w:rsidRDefault="000B177D" w:rsidP="003521CE">
      <w:pPr>
        <w:pStyle w:val="NormalWeb"/>
        <w:spacing w:beforeAutospacing="0" w:after="0" w:afterAutospacing="0"/>
        <w:jc w:val="both"/>
      </w:pPr>
      <w:r w:rsidRPr="00C85F4C">
        <w:t xml:space="preserve">Art. 3º Haverá expediente administrativo na capital nos dias </w:t>
      </w:r>
      <w:r w:rsidR="003521CE" w:rsidRPr="00C85F4C">
        <w:t>20, 21, 22, 26, 27, 28 e 29 de dezembro de 2017 e 2, 3, 4 e 5 de janeiro de 2018</w:t>
      </w:r>
      <w:r w:rsidRPr="00C85F4C">
        <w:t>, no horário de 8 às 13 horas, nas unidades administrativas mencionadas no art. 18, incisos I, II e III, da Lei Complementar Estadual Nº 54/2006.</w:t>
      </w:r>
    </w:p>
    <w:p w:rsidR="003378E7" w:rsidRPr="00C85F4C" w:rsidRDefault="003378E7" w:rsidP="003521CE">
      <w:pPr>
        <w:pStyle w:val="NormalWeb"/>
        <w:spacing w:beforeAutospacing="0" w:after="0" w:afterAutospacing="0"/>
        <w:jc w:val="both"/>
      </w:pPr>
    </w:p>
    <w:p w:rsidR="003378E7" w:rsidRPr="00C85F4C" w:rsidRDefault="000B177D" w:rsidP="003521CE">
      <w:pPr>
        <w:pStyle w:val="NormalWeb"/>
        <w:spacing w:beforeAutospacing="0" w:after="0" w:afterAutospacing="0"/>
        <w:jc w:val="both"/>
      </w:pPr>
      <w:r w:rsidRPr="00C85F4C">
        <w:t xml:space="preserve">Parágrafo Único. As chefias das unidades mencionadas no </w:t>
      </w:r>
      <w:r w:rsidRPr="00C85F4C">
        <w:rPr>
          <w:i/>
          <w:iCs/>
        </w:rPr>
        <w:t>caput</w:t>
      </w:r>
      <w:r w:rsidRPr="00C85F4C">
        <w:t xml:space="preserve"> poderão permitir a ausência de parte dos servidores e defensores públicos que trabalhem nas referidas unidades, organizando escala de revezamento entre eles, desde que seja mantido o funcionamento das unidades.</w:t>
      </w:r>
    </w:p>
    <w:p w:rsidR="003378E7" w:rsidRPr="00C85F4C" w:rsidRDefault="003378E7" w:rsidP="003521CE">
      <w:pPr>
        <w:pStyle w:val="NormalWeb"/>
        <w:spacing w:beforeAutospacing="0" w:after="0" w:afterAutospacing="0"/>
        <w:jc w:val="both"/>
      </w:pPr>
    </w:p>
    <w:p w:rsidR="003378E7" w:rsidRPr="00C85F4C" w:rsidRDefault="000B177D" w:rsidP="003521CE">
      <w:pPr>
        <w:pStyle w:val="NormalWeb"/>
        <w:spacing w:beforeAutospacing="0" w:after="0" w:afterAutospacing="0"/>
        <w:jc w:val="both"/>
      </w:pPr>
      <w:r w:rsidRPr="00C85F4C">
        <w:t>Art. 4º Os Coordenadores de Núcleo da Capital e do Interior organizarão as escalas de que trata o artigo 2º, que serão comunicadas às Diretorias Metropolitana e do Interior</w:t>
      </w:r>
      <w:r w:rsidR="003521CE" w:rsidRPr="00C85F4C">
        <w:t xml:space="preserve"> </w:t>
      </w:r>
      <w:r w:rsidR="003521CE" w:rsidRPr="00C85F4C">
        <w:rPr>
          <w:color w:val="FF0000"/>
        </w:rPr>
        <w:t>logo</w:t>
      </w:r>
      <w:r w:rsidRPr="00C85F4C">
        <w:rPr>
          <w:color w:val="FF0000"/>
        </w:rPr>
        <w:t xml:space="preserve"> </w:t>
      </w:r>
      <w:r w:rsidR="003521CE" w:rsidRPr="00C85F4C">
        <w:rPr>
          <w:color w:val="FF0000"/>
        </w:rPr>
        <w:t>após a publicação da presente Resolução</w:t>
      </w:r>
      <w:r w:rsidRPr="00C85F4C">
        <w:t>, a fim de que essas possam</w:t>
      </w:r>
      <w:r w:rsidR="003521CE" w:rsidRPr="00C85F4C">
        <w:t xml:space="preserve"> dar ciência à Corregedoria Geral e à</w:t>
      </w:r>
      <w:r w:rsidRPr="00C85F4C">
        <w:t xml:space="preserve"> Defensor</w:t>
      </w:r>
      <w:r w:rsidR="003521CE" w:rsidRPr="00C85F4C">
        <w:t>ia Pública</w:t>
      </w:r>
      <w:r w:rsidRPr="00C85F4C">
        <w:t xml:space="preserve"> Geral, para ampla divulgação das escalas na Instituição, inclusive no</w:t>
      </w:r>
      <w:r w:rsidR="0085016B">
        <w:t xml:space="preserve"> sítio da Defensoria Pública na rede mundial de computadores.</w:t>
      </w:r>
    </w:p>
    <w:p w:rsidR="003378E7" w:rsidRPr="00C85F4C" w:rsidRDefault="003378E7" w:rsidP="003521CE">
      <w:pPr>
        <w:pStyle w:val="NormalWeb"/>
        <w:spacing w:beforeAutospacing="0" w:after="0" w:afterAutospacing="0"/>
        <w:jc w:val="both"/>
      </w:pPr>
    </w:p>
    <w:p w:rsidR="003378E7" w:rsidRPr="00C85F4C" w:rsidRDefault="000B177D" w:rsidP="003521CE">
      <w:pPr>
        <w:pStyle w:val="NormalWeb"/>
        <w:spacing w:beforeAutospacing="0" w:after="0" w:afterAutospacing="0"/>
        <w:jc w:val="both"/>
      </w:pPr>
      <w:r w:rsidRPr="00C85F4C">
        <w:t xml:space="preserve">Art. 5º Nas comarcas em que haja um único Defensor Público em atuação, este deverá funcionar durante o recesso nos dias </w:t>
      </w:r>
      <w:r w:rsidR="003521CE" w:rsidRPr="00C85F4C">
        <w:t>20, 21, 22, 26, 27, 28 e 29 de dezembro de 2017 e 2, 3, 4 e 5 de janeiro de 2018</w:t>
      </w:r>
      <w:r w:rsidRPr="00C85F4C">
        <w:t>, em regime de plantão, resguardado o disposto no parágrafo único desse artigo, bem como indicar o servidor que ficará responsável pelo atendimento e recebimento das medidas e pedidos urgentes, devendo tal expediente ser encaminhado às coordenações respectivas</w:t>
      </w:r>
      <w:r w:rsidR="003521CE" w:rsidRPr="00C85F4C">
        <w:t xml:space="preserve"> </w:t>
      </w:r>
      <w:r w:rsidR="003521CE" w:rsidRPr="00C85F4C">
        <w:rPr>
          <w:color w:val="FF0000"/>
        </w:rPr>
        <w:t>logo após a publicação desta Resolução</w:t>
      </w:r>
      <w:r w:rsidRPr="00C85F4C">
        <w:t>, para que a chefia possa remetê-las a quem de direito no prazo do artigo anterior.</w:t>
      </w:r>
    </w:p>
    <w:p w:rsidR="003378E7" w:rsidRPr="00C85F4C" w:rsidRDefault="003378E7" w:rsidP="003521CE">
      <w:pPr>
        <w:pStyle w:val="NormalWeb"/>
        <w:spacing w:beforeAutospacing="0" w:after="0" w:afterAutospacing="0"/>
        <w:jc w:val="both"/>
      </w:pPr>
    </w:p>
    <w:p w:rsidR="003378E7" w:rsidRPr="00C85F4C" w:rsidRDefault="000B177D" w:rsidP="003521CE">
      <w:pPr>
        <w:pStyle w:val="NormalWeb"/>
        <w:spacing w:beforeAutospacing="0" w:after="0" w:afterAutospacing="0"/>
        <w:jc w:val="both"/>
      </w:pPr>
      <w:r w:rsidRPr="00C85F4C">
        <w:t xml:space="preserve">Parágrafo Único. Nos dias </w:t>
      </w:r>
      <w:r w:rsidR="003521CE" w:rsidRPr="00C85F4C">
        <w:t>25 de dezembro de 2017 e 1º de janeiro de 2018</w:t>
      </w:r>
      <w:r w:rsidRPr="00C85F4C">
        <w:t xml:space="preserve">, os Defensores Públicos, em exercício nas Comarcas de que trata este artigo, poderão se ausentar da Comarca referida desde que assegurem meios de imediata comunicação com os servidores de plantão, via internet, ou fac-símile, ou telefone fixo e celular, de modo a garantir o atendimento de </w:t>
      </w:r>
      <w:r w:rsidRPr="00C85F4C">
        <w:lastRenderedPageBreak/>
        <w:t>casos urgentes, previstos na presente resolução e, comu</w:t>
      </w:r>
      <w:r w:rsidR="003521CE" w:rsidRPr="00C85F4C">
        <w:t>niquem à Corregedoria Geral e à</w:t>
      </w:r>
      <w:r w:rsidRPr="00C85F4C">
        <w:t xml:space="preserve"> Defensor</w:t>
      </w:r>
      <w:r w:rsidR="003521CE" w:rsidRPr="00C85F4C">
        <w:t>ia Pública</w:t>
      </w:r>
      <w:r w:rsidR="00C85F4C" w:rsidRPr="00C85F4C">
        <w:t xml:space="preserve"> Geral, informando o endereço onde</w:t>
      </w:r>
      <w:r w:rsidRPr="00C85F4C">
        <w:t xml:space="preserve"> poderão ser encontrados e seus respectivos telefones.</w:t>
      </w:r>
    </w:p>
    <w:p w:rsidR="003378E7" w:rsidRPr="00C85F4C" w:rsidRDefault="003378E7" w:rsidP="003521CE">
      <w:pPr>
        <w:pStyle w:val="NormalWeb"/>
        <w:spacing w:beforeAutospacing="0" w:after="0" w:afterAutospacing="0"/>
        <w:jc w:val="both"/>
      </w:pPr>
    </w:p>
    <w:p w:rsidR="003378E7" w:rsidRPr="00C85F4C" w:rsidRDefault="000B177D" w:rsidP="003521CE">
      <w:pPr>
        <w:pStyle w:val="NormalWeb"/>
        <w:spacing w:beforeAutospacing="0" w:after="0" w:afterAutospacing="0"/>
        <w:jc w:val="both"/>
      </w:pPr>
      <w:r w:rsidRPr="00C85F4C">
        <w:t>Art. 6º O Defensor Público que funcionar durante o período abrangido nesta resolução deverá encaminhar ao Coordenador/Diretor relatório circunstanciado dos atendimentos e ocorrências, bem assim das providências tomadas</w:t>
      </w:r>
      <w:r w:rsidR="003521CE" w:rsidRPr="00C85F4C">
        <w:t>, até o dia 15 de janeiro de 2018</w:t>
      </w:r>
      <w:r w:rsidRPr="00C85F4C">
        <w:t>.</w:t>
      </w:r>
    </w:p>
    <w:p w:rsidR="003378E7" w:rsidRPr="00C85F4C" w:rsidRDefault="003378E7" w:rsidP="003521CE">
      <w:pPr>
        <w:pStyle w:val="NormalWeb"/>
        <w:spacing w:beforeAutospacing="0" w:after="0" w:afterAutospacing="0"/>
        <w:jc w:val="both"/>
      </w:pPr>
    </w:p>
    <w:p w:rsidR="003378E7" w:rsidRPr="00C85F4C" w:rsidRDefault="000B177D" w:rsidP="003521CE">
      <w:pPr>
        <w:pStyle w:val="NormalWeb"/>
        <w:spacing w:beforeAutospacing="0" w:after="0" w:afterAutospacing="0"/>
        <w:jc w:val="both"/>
      </w:pPr>
      <w:r w:rsidRPr="00C85F4C">
        <w:t>Art. 7º Além das sanções disciplinares aplicáveis, o descumprimento do disposto nesta resolução implicará no desconto salarial correspondente aos dias não trabalhados, devendo a Corregedoria Geral e a Defensoria Pública Geral, bem como as Diretorias competentes e as Coordenações da Capital e do Interior empreenderem as medidas fiscalizadoras cabíveis.</w:t>
      </w:r>
    </w:p>
    <w:p w:rsidR="003378E7" w:rsidRPr="00C85F4C" w:rsidRDefault="003378E7" w:rsidP="003521CE">
      <w:pPr>
        <w:pStyle w:val="NormalWeb"/>
        <w:spacing w:beforeAutospacing="0" w:after="0" w:afterAutospacing="0"/>
        <w:jc w:val="both"/>
      </w:pPr>
    </w:p>
    <w:p w:rsidR="003378E7" w:rsidRPr="00C85F4C" w:rsidRDefault="000B177D" w:rsidP="003521CE">
      <w:pPr>
        <w:pStyle w:val="NormalWeb"/>
        <w:spacing w:beforeAutospacing="0" w:after="0" w:afterAutospacing="0"/>
        <w:jc w:val="both"/>
      </w:pPr>
      <w:r w:rsidRPr="00C85F4C">
        <w:t>Art. 8º Os casos omissos serão decididos pela Defensoria Pública Geral.</w:t>
      </w:r>
    </w:p>
    <w:p w:rsidR="003378E7" w:rsidRPr="00C85F4C" w:rsidRDefault="003378E7" w:rsidP="003521CE">
      <w:pPr>
        <w:pStyle w:val="NormalWeb"/>
        <w:spacing w:beforeAutospacing="0" w:after="0" w:afterAutospacing="0"/>
        <w:jc w:val="both"/>
      </w:pPr>
    </w:p>
    <w:p w:rsidR="003378E7" w:rsidRPr="00C85F4C" w:rsidRDefault="000B177D" w:rsidP="003521CE">
      <w:pPr>
        <w:pStyle w:val="NormalWeb"/>
        <w:spacing w:beforeAutospacing="0" w:after="0" w:afterAutospacing="0"/>
        <w:jc w:val="both"/>
      </w:pPr>
      <w:r w:rsidRPr="00C85F4C">
        <w:rPr>
          <w:color w:val="000000"/>
        </w:rPr>
        <w:t>Art. 9º Esta Resolução entra em vigor na data de sua publicação.</w:t>
      </w:r>
    </w:p>
    <w:p w:rsidR="003378E7" w:rsidRPr="00C85F4C" w:rsidRDefault="003378E7" w:rsidP="003521CE">
      <w:pPr>
        <w:pStyle w:val="NormalWeb"/>
        <w:spacing w:beforeAutospacing="0" w:after="0" w:afterAutospacing="0"/>
        <w:jc w:val="both"/>
        <w:rPr>
          <w:color w:val="000000"/>
        </w:rPr>
      </w:pPr>
    </w:p>
    <w:p w:rsidR="003378E7" w:rsidRPr="00C85F4C" w:rsidRDefault="000B177D" w:rsidP="003521CE">
      <w:pPr>
        <w:spacing w:after="0" w:line="240" w:lineRule="auto"/>
        <w:jc w:val="both"/>
        <w:rPr>
          <w:rFonts w:ascii="Times New Roman" w:hAnsi="Times New Roman" w:cs="Times New Roman"/>
          <w:sz w:val="24"/>
          <w:szCs w:val="24"/>
        </w:rPr>
      </w:pPr>
      <w:r w:rsidRPr="00C85F4C">
        <w:rPr>
          <w:rFonts w:ascii="Times New Roman" w:eastAsia="Times New Roman" w:hAnsi="Times New Roman" w:cs="Times New Roman"/>
          <w:sz w:val="24"/>
          <w:szCs w:val="24"/>
        </w:rPr>
        <w:t xml:space="preserve">Sala de reuniões do Conselho Superior da Defensoria Pública do Estado, aos </w:t>
      </w:r>
      <w:r w:rsidR="003521CE" w:rsidRPr="00C85F4C">
        <w:rPr>
          <w:rFonts w:ascii="Times New Roman" w:eastAsia="Times New Roman" w:hAnsi="Times New Roman" w:cs="Times New Roman"/>
          <w:sz w:val="24"/>
          <w:szCs w:val="24"/>
        </w:rPr>
        <w:t xml:space="preserve">dezoito </w:t>
      </w:r>
      <w:r w:rsidRPr="00C85F4C">
        <w:rPr>
          <w:rFonts w:ascii="Times New Roman" w:eastAsia="Times New Roman" w:hAnsi="Times New Roman" w:cs="Times New Roman"/>
          <w:sz w:val="24"/>
          <w:szCs w:val="24"/>
        </w:rPr>
        <w:t>dias do mês de dezembr</w:t>
      </w:r>
      <w:r w:rsidR="003521CE" w:rsidRPr="00C85F4C">
        <w:rPr>
          <w:rFonts w:ascii="Times New Roman" w:eastAsia="Times New Roman" w:hAnsi="Times New Roman" w:cs="Times New Roman"/>
          <w:sz w:val="24"/>
          <w:szCs w:val="24"/>
        </w:rPr>
        <w:t>o do ano de dois mil e dezessete</w:t>
      </w:r>
      <w:r w:rsidRPr="00C85F4C">
        <w:rPr>
          <w:rFonts w:ascii="Times New Roman" w:eastAsia="Times New Roman" w:hAnsi="Times New Roman" w:cs="Times New Roman"/>
          <w:sz w:val="24"/>
          <w:szCs w:val="24"/>
        </w:rPr>
        <w:t>.</w:t>
      </w:r>
    </w:p>
    <w:p w:rsidR="003378E7" w:rsidRPr="00C85F4C" w:rsidRDefault="003378E7" w:rsidP="003521CE">
      <w:pPr>
        <w:spacing w:after="0" w:line="240" w:lineRule="auto"/>
        <w:jc w:val="both"/>
        <w:rPr>
          <w:rFonts w:ascii="Times New Roman" w:eastAsia="Times New Roman" w:hAnsi="Times New Roman" w:cs="Times New Roman"/>
          <w:sz w:val="24"/>
          <w:szCs w:val="24"/>
        </w:rPr>
      </w:pPr>
    </w:p>
    <w:p w:rsidR="003378E7" w:rsidRPr="00C85F4C" w:rsidRDefault="003378E7" w:rsidP="003521CE">
      <w:pPr>
        <w:spacing w:after="0" w:line="240" w:lineRule="auto"/>
        <w:jc w:val="both"/>
        <w:rPr>
          <w:rFonts w:ascii="Times New Roman" w:eastAsia="Times New Roman" w:hAnsi="Times New Roman" w:cs="Times New Roman"/>
          <w:sz w:val="24"/>
          <w:szCs w:val="24"/>
        </w:rPr>
      </w:pPr>
    </w:p>
    <w:p w:rsidR="003378E7" w:rsidRPr="00C85F4C" w:rsidRDefault="000B177D" w:rsidP="003521CE">
      <w:pPr>
        <w:spacing w:after="0" w:line="240" w:lineRule="auto"/>
        <w:jc w:val="both"/>
        <w:rPr>
          <w:rFonts w:ascii="Times New Roman" w:eastAsia="Times New Roman" w:hAnsi="Times New Roman" w:cs="Times New Roman"/>
          <w:sz w:val="24"/>
          <w:szCs w:val="24"/>
        </w:rPr>
      </w:pPr>
      <w:r w:rsidRPr="00C85F4C">
        <w:rPr>
          <w:rFonts w:ascii="Times New Roman" w:eastAsia="Times New Roman" w:hAnsi="Times New Roman" w:cs="Times New Roman"/>
          <w:sz w:val="24"/>
          <w:szCs w:val="24"/>
        </w:rPr>
        <w:t>JENIFFER DE BARROS RODRIGUES</w:t>
      </w:r>
    </w:p>
    <w:p w:rsidR="003378E7" w:rsidRPr="00C85F4C" w:rsidRDefault="000B177D" w:rsidP="003521CE">
      <w:pPr>
        <w:spacing w:after="0" w:line="240" w:lineRule="auto"/>
        <w:jc w:val="both"/>
        <w:rPr>
          <w:rFonts w:ascii="Times New Roman" w:eastAsia="Times New Roman" w:hAnsi="Times New Roman" w:cs="Times New Roman"/>
          <w:sz w:val="24"/>
          <w:szCs w:val="24"/>
        </w:rPr>
      </w:pPr>
      <w:r w:rsidRPr="00C85F4C">
        <w:rPr>
          <w:rFonts w:ascii="Times New Roman" w:eastAsia="Times New Roman" w:hAnsi="Times New Roman" w:cs="Times New Roman"/>
          <w:color w:val="000000"/>
          <w:sz w:val="24"/>
          <w:szCs w:val="24"/>
        </w:rPr>
        <w:t>Presidente do Conselho Superior</w:t>
      </w:r>
    </w:p>
    <w:p w:rsidR="003378E7" w:rsidRPr="00C85F4C" w:rsidRDefault="000B177D" w:rsidP="003521CE">
      <w:pPr>
        <w:spacing w:after="0" w:line="240" w:lineRule="auto"/>
        <w:jc w:val="both"/>
        <w:rPr>
          <w:rFonts w:ascii="Times New Roman" w:eastAsia="Times New Roman" w:hAnsi="Times New Roman" w:cs="Times New Roman"/>
          <w:sz w:val="24"/>
          <w:szCs w:val="24"/>
        </w:rPr>
      </w:pPr>
      <w:r w:rsidRPr="00C85F4C">
        <w:rPr>
          <w:rFonts w:ascii="Times New Roman" w:eastAsia="Times New Roman" w:hAnsi="Times New Roman" w:cs="Times New Roman"/>
          <w:color w:val="000000"/>
          <w:sz w:val="24"/>
          <w:szCs w:val="24"/>
        </w:rPr>
        <w:t>Defensora Pública Geral</w:t>
      </w:r>
    </w:p>
    <w:p w:rsidR="003378E7" w:rsidRPr="00C85F4C" w:rsidRDefault="000B177D" w:rsidP="003521CE">
      <w:pPr>
        <w:spacing w:after="0" w:line="240" w:lineRule="auto"/>
        <w:jc w:val="both"/>
        <w:rPr>
          <w:rFonts w:ascii="Times New Roman" w:eastAsia="Times New Roman" w:hAnsi="Times New Roman" w:cs="Times New Roman"/>
          <w:sz w:val="24"/>
          <w:szCs w:val="24"/>
        </w:rPr>
      </w:pPr>
      <w:r w:rsidRPr="00C85F4C">
        <w:rPr>
          <w:rFonts w:ascii="Times New Roman" w:eastAsia="Times New Roman" w:hAnsi="Times New Roman" w:cs="Times New Roman"/>
          <w:color w:val="000000"/>
          <w:sz w:val="24"/>
          <w:szCs w:val="24"/>
        </w:rPr>
        <w:t>Membro Nato</w:t>
      </w:r>
    </w:p>
    <w:p w:rsidR="003378E7" w:rsidRPr="00C85F4C" w:rsidRDefault="003378E7" w:rsidP="003521CE">
      <w:pPr>
        <w:spacing w:after="0" w:line="240" w:lineRule="auto"/>
        <w:jc w:val="both"/>
        <w:rPr>
          <w:rFonts w:ascii="Times New Roman" w:hAnsi="Times New Roman" w:cs="Times New Roman"/>
          <w:color w:val="000000"/>
          <w:sz w:val="24"/>
          <w:szCs w:val="24"/>
        </w:rPr>
      </w:pPr>
    </w:p>
    <w:p w:rsidR="003378E7" w:rsidRPr="00C85F4C" w:rsidRDefault="003378E7" w:rsidP="003521CE">
      <w:pPr>
        <w:spacing w:after="0" w:line="240" w:lineRule="auto"/>
        <w:jc w:val="both"/>
        <w:rPr>
          <w:rFonts w:ascii="Times New Roman" w:hAnsi="Times New Roman" w:cs="Times New Roman"/>
          <w:color w:val="000000"/>
          <w:sz w:val="24"/>
          <w:szCs w:val="24"/>
        </w:rPr>
      </w:pPr>
    </w:p>
    <w:p w:rsidR="003378E7" w:rsidRPr="00C85F4C" w:rsidRDefault="000B177D" w:rsidP="003521CE">
      <w:pPr>
        <w:spacing w:after="0" w:line="240" w:lineRule="auto"/>
        <w:jc w:val="both"/>
        <w:rPr>
          <w:rFonts w:ascii="Times New Roman" w:hAnsi="Times New Roman" w:cs="Times New Roman"/>
          <w:sz w:val="24"/>
          <w:szCs w:val="24"/>
        </w:rPr>
      </w:pPr>
      <w:r w:rsidRPr="00C85F4C">
        <w:rPr>
          <w:rFonts w:ascii="Times New Roman" w:hAnsi="Times New Roman" w:cs="Times New Roman"/>
          <w:color w:val="000000"/>
          <w:sz w:val="24"/>
          <w:szCs w:val="24"/>
        </w:rPr>
        <w:t>ANTÔNIO CARLOS DE ANDRADE MONTEIRO</w:t>
      </w:r>
    </w:p>
    <w:p w:rsidR="003378E7" w:rsidRPr="00C85F4C" w:rsidRDefault="000B177D" w:rsidP="003521CE">
      <w:pPr>
        <w:spacing w:after="0" w:line="240" w:lineRule="auto"/>
        <w:jc w:val="both"/>
        <w:rPr>
          <w:rFonts w:ascii="Times New Roman" w:hAnsi="Times New Roman" w:cs="Times New Roman"/>
          <w:sz w:val="24"/>
          <w:szCs w:val="24"/>
        </w:rPr>
      </w:pPr>
      <w:r w:rsidRPr="00C85F4C">
        <w:rPr>
          <w:rFonts w:ascii="Times New Roman" w:hAnsi="Times New Roman" w:cs="Times New Roman"/>
          <w:color w:val="000000"/>
          <w:sz w:val="24"/>
          <w:szCs w:val="24"/>
        </w:rPr>
        <w:t>Corregedor Geral</w:t>
      </w:r>
    </w:p>
    <w:p w:rsidR="003378E7" w:rsidRPr="00C85F4C" w:rsidRDefault="000B177D" w:rsidP="003521CE">
      <w:pPr>
        <w:spacing w:after="0" w:line="240" w:lineRule="auto"/>
        <w:jc w:val="both"/>
        <w:rPr>
          <w:rFonts w:ascii="Times New Roman" w:hAnsi="Times New Roman" w:cs="Times New Roman"/>
          <w:sz w:val="24"/>
          <w:szCs w:val="24"/>
        </w:rPr>
      </w:pPr>
      <w:r w:rsidRPr="00C85F4C">
        <w:rPr>
          <w:rFonts w:ascii="Times New Roman" w:hAnsi="Times New Roman" w:cs="Times New Roman"/>
          <w:color w:val="000000"/>
          <w:sz w:val="24"/>
          <w:szCs w:val="24"/>
        </w:rPr>
        <w:t>Membro Nato</w:t>
      </w:r>
    </w:p>
    <w:p w:rsidR="003378E7" w:rsidRPr="00C85F4C" w:rsidRDefault="003378E7" w:rsidP="003521CE">
      <w:pPr>
        <w:spacing w:after="0" w:line="240" w:lineRule="auto"/>
        <w:jc w:val="both"/>
        <w:rPr>
          <w:rFonts w:ascii="Times New Roman" w:hAnsi="Times New Roman" w:cs="Times New Roman"/>
          <w:color w:val="000000"/>
          <w:sz w:val="24"/>
          <w:szCs w:val="24"/>
        </w:rPr>
      </w:pPr>
    </w:p>
    <w:p w:rsidR="003378E7" w:rsidRPr="00C85F4C" w:rsidRDefault="003378E7" w:rsidP="003521CE">
      <w:pPr>
        <w:spacing w:after="0" w:line="240" w:lineRule="auto"/>
        <w:jc w:val="both"/>
        <w:rPr>
          <w:rFonts w:ascii="Times New Roman" w:hAnsi="Times New Roman" w:cs="Times New Roman"/>
          <w:color w:val="000000"/>
          <w:sz w:val="24"/>
          <w:szCs w:val="24"/>
        </w:rPr>
      </w:pPr>
    </w:p>
    <w:p w:rsidR="003378E7" w:rsidRPr="00C85F4C" w:rsidRDefault="000B177D" w:rsidP="003521CE">
      <w:pPr>
        <w:spacing w:after="0" w:line="240" w:lineRule="auto"/>
        <w:jc w:val="both"/>
        <w:rPr>
          <w:rFonts w:ascii="Times New Roman" w:hAnsi="Times New Roman" w:cs="Times New Roman"/>
          <w:sz w:val="24"/>
          <w:szCs w:val="24"/>
        </w:rPr>
      </w:pPr>
      <w:r w:rsidRPr="00C85F4C">
        <w:rPr>
          <w:rFonts w:ascii="Times New Roman" w:hAnsi="Times New Roman" w:cs="Times New Roman"/>
          <w:color w:val="000000"/>
          <w:sz w:val="24"/>
          <w:szCs w:val="24"/>
        </w:rPr>
        <w:t>FERNANDO ALBUQUERQUE DE OLIVEIRA</w:t>
      </w:r>
    </w:p>
    <w:p w:rsidR="003378E7" w:rsidRPr="00C85F4C" w:rsidRDefault="000B177D" w:rsidP="003521CE">
      <w:pPr>
        <w:spacing w:after="0" w:line="240" w:lineRule="auto"/>
        <w:jc w:val="both"/>
        <w:rPr>
          <w:rFonts w:ascii="Times New Roman" w:hAnsi="Times New Roman" w:cs="Times New Roman"/>
          <w:sz w:val="24"/>
          <w:szCs w:val="24"/>
        </w:rPr>
      </w:pPr>
      <w:r w:rsidRPr="00C85F4C">
        <w:rPr>
          <w:rFonts w:ascii="Times New Roman" w:hAnsi="Times New Roman" w:cs="Times New Roman"/>
          <w:color w:val="000000"/>
          <w:sz w:val="24"/>
          <w:szCs w:val="24"/>
        </w:rPr>
        <w:t>Membro Titular</w:t>
      </w:r>
    </w:p>
    <w:p w:rsidR="003378E7" w:rsidRPr="00C85F4C" w:rsidRDefault="003378E7" w:rsidP="003521CE">
      <w:pPr>
        <w:spacing w:after="0" w:line="240" w:lineRule="auto"/>
        <w:jc w:val="both"/>
        <w:rPr>
          <w:rFonts w:ascii="Times New Roman" w:hAnsi="Times New Roman" w:cs="Times New Roman"/>
          <w:color w:val="000000"/>
          <w:sz w:val="24"/>
          <w:szCs w:val="24"/>
        </w:rPr>
      </w:pPr>
    </w:p>
    <w:p w:rsidR="003378E7" w:rsidRPr="00C85F4C" w:rsidRDefault="003378E7" w:rsidP="003521CE">
      <w:pPr>
        <w:spacing w:after="0" w:line="240" w:lineRule="auto"/>
        <w:jc w:val="both"/>
        <w:rPr>
          <w:rFonts w:ascii="Times New Roman" w:hAnsi="Times New Roman" w:cs="Times New Roman"/>
          <w:color w:val="000000"/>
          <w:sz w:val="24"/>
          <w:szCs w:val="24"/>
        </w:rPr>
      </w:pPr>
    </w:p>
    <w:p w:rsidR="003378E7" w:rsidRPr="00C85F4C" w:rsidRDefault="000B177D" w:rsidP="003521CE">
      <w:pPr>
        <w:pStyle w:val="western"/>
        <w:spacing w:before="0" w:after="0" w:line="240" w:lineRule="auto"/>
        <w:jc w:val="both"/>
        <w:rPr>
          <w:rFonts w:cs="Times New Roman"/>
          <w:szCs w:val="24"/>
        </w:rPr>
      </w:pPr>
      <w:r w:rsidRPr="00C85F4C">
        <w:rPr>
          <w:rFonts w:cs="Times New Roman"/>
          <w:szCs w:val="24"/>
        </w:rPr>
        <w:t>MARCO AURÉLIO VELLOZO GUTERRES</w:t>
      </w:r>
    </w:p>
    <w:p w:rsidR="003378E7" w:rsidRPr="00C85F4C" w:rsidRDefault="000B177D" w:rsidP="003521CE">
      <w:pPr>
        <w:pStyle w:val="western"/>
        <w:spacing w:before="0" w:after="0" w:line="240" w:lineRule="auto"/>
        <w:jc w:val="both"/>
        <w:rPr>
          <w:rFonts w:cs="Times New Roman"/>
          <w:szCs w:val="24"/>
        </w:rPr>
      </w:pPr>
      <w:r w:rsidRPr="00C85F4C">
        <w:rPr>
          <w:rFonts w:cs="Times New Roman"/>
          <w:szCs w:val="24"/>
        </w:rPr>
        <w:t>Membro Titular</w:t>
      </w:r>
    </w:p>
    <w:p w:rsidR="003378E7" w:rsidRPr="00C85F4C" w:rsidRDefault="003378E7" w:rsidP="003521CE">
      <w:pPr>
        <w:pStyle w:val="western"/>
        <w:spacing w:before="0" w:after="0" w:line="240" w:lineRule="auto"/>
        <w:jc w:val="both"/>
        <w:rPr>
          <w:rFonts w:cs="Times New Roman"/>
          <w:szCs w:val="24"/>
        </w:rPr>
      </w:pPr>
    </w:p>
    <w:p w:rsidR="003378E7" w:rsidRPr="00C85F4C" w:rsidRDefault="003378E7" w:rsidP="003521CE">
      <w:pPr>
        <w:pStyle w:val="western"/>
        <w:spacing w:before="0" w:after="0" w:line="240" w:lineRule="auto"/>
        <w:jc w:val="both"/>
        <w:rPr>
          <w:rFonts w:cs="Times New Roman"/>
          <w:szCs w:val="24"/>
        </w:rPr>
      </w:pPr>
    </w:p>
    <w:p w:rsidR="003378E7" w:rsidRPr="00C85F4C" w:rsidRDefault="000B177D" w:rsidP="003521CE">
      <w:pPr>
        <w:pStyle w:val="western"/>
        <w:spacing w:before="0" w:after="0" w:line="240" w:lineRule="auto"/>
        <w:jc w:val="both"/>
        <w:rPr>
          <w:rFonts w:cs="Times New Roman"/>
          <w:szCs w:val="24"/>
        </w:rPr>
      </w:pPr>
      <w:r w:rsidRPr="00C85F4C">
        <w:rPr>
          <w:rFonts w:cs="Times New Roman"/>
          <w:szCs w:val="24"/>
        </w:rPr>
        <w:t xml:space="preserve">FRANCISCO ROBÉRIO CAVALCANTE PINHEIRO FILHO </w:t>
      </w:r>
    </w:p>
    <w:p w:rsidR="003378E7" w:rsidRPr="00C85F4C" w:rsidRDefault="000B177D" w:rsidP="003521CE">
      <w:pPr>
        <w:pStyle w:val="western"/>
        <w:spacing w:before="0" w:after="0" w:line="240" w:lineRule="auto"/>
        <w:jc w:val="both"/>
        <w:rPr>
          <w:rFonts w:cs="Times New Roman"/>
          <w:szCs w:val="24"/>
        </w:rPr>
      </w:pPr>
      <w:r w:rsidRPr="00C85F4C">
        <w:rPr>
          <w:rFonts w:cs="Times New Roman"/>
          <w:szCs w:val="24"/>
        </w:rPr>
        <w:t>Membro Titular</w:t>
      </w:r>
    </w:p>
    <w:p w:rsidR="003378E7" w:rsidRPr="00C85F4C" w:rsidRDefault="003378E7" w:rsidP="003521CE">
      <w:pPr>
        <w:pStyle w:val="western"/>
        <w:spacing w:before="0" w:after="0" w:line="240" w:lineRule="auto"/>
        <w:jc w:val="both"/>
        <w:rPr>
          <w:rFonts w:cs="Times New Roman"/>
          <w:szCs w:val="24"/>
        </w:rPr>
      </w:pPr>
    </w:p>
    <w:p w:rsidR="003378E7" w:rsidRPr="00C85F4C" w:rsidRDefault="003378E7" w:rsidP="003521CE">
      <w:pPr>
        <w:pStyle w:val="western"/>
        <w:spacing w:before="0" w:after="0" w:line="240" w:lineRule="auto"/>
        <w:jc w:val="both"/>
        <w:rPr>
          <w:rFonts w:cs="Times New Roman"/>
          <w:szCs w:val="24"/>
        </w:rPr>
      </w:pPr>
    </w:p>
    <w:p w:rsidR="003378E7" w:rsidRPr="00C85F4C" w:rsidRDefault="000B177D" w:rsidP="003521CE">
      <w:pPr>
        <w:pStyle w:val="western"/>
        <w:spacing w:before="0" w:after="0" w:line="240" w:lineRule="auto"/>
        <w:jc w:val="both"/>
        <w:rPr>
          <w:rFonts w:cs="Times New Roman"/>
          <w:szCs w:val="24"/>
        </w:rPr>
      </w:pPr>
      <w:r w:rsidRPr="00C85F4C">
        <w:rPr>
          <w:rFonts w:cs="Times New Roman"/>
          <w:szCs w:val="24"/>
        </w:rPr>
        <w:t>WALTER AUGUSTO BARRETO TEIXEIRA</w:t>
      </w:r>
    </w:p>
    <w:p w:rsidR="003378E7" w:rsidRPr="00C85F4C" w:rsidRDefault="000B177D" w:rsidP="003521CE">
      <w:pPr>
        <w:pStyle w:val="western"/>
        <w:spacing w:before="0" w:after="0" w:line="240" w:lineRule="auto"/>
        <w:jc w:val="both"/>
        <w:rPr>
          <w:rFonts w:cs="Times New Roman"/>
          <w:szCs w:val="24"/>
        </w:rPr>
      </w:pPr>
      <w:r w:rsidRPr="00C85F4C">
        <w:rPr>
          <w:rFonts w:cs="Times New Roman"/>
          <w:szCs w:val="24"/>
        </w:rPr>
        <w:t>Membro Titular</w:t>
      </w:r>
    </w:p>
    <w:sectPr w:rsidR="003378E7" w:rsidRPr="00C85F4C" w:rsidSect="003521CE">
      <w:headerReference w:type="default" r:id="rId7"/>
      <w:pgSz w:w="11906" w:h="16838"/>
      <w:pgMar w:top="1701" w:right="1418" w:bottom="964" w:left="1588" w:header="624"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2D1" w:rsidRDefault="000B177D">
      <w:pPr>
        <w:spacing w:after="0" w:line="240" w:lineRule="auto"/>
      </w:pPr>
      <w:r>
        <w:separator/>
      </w:r>
    </w:p>
  </w:endnote>
  <w:endnote w:type="continuationSeparator" w:id="0">
    <w:p w:rsidR="00CE32D1" w:rsidRDefault="000B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2D1" w:rsidRDefault="000B177D">
      <w:pPr>
        <w:spacing w:after="0" w:line="240" w:lineRule="auto"/>
      </w:pPr>
      <w:r>
        <w:separator/>
      </w:r>
    </w:p>
  </w:footnote>
  <w:footnote w:type="continuationSeparator" w:id="0">
    <w:p w:rsidR="00CE32D1" w:rsidRDefault="000B1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E7" w:rsidRDefault="000B177D">
    <w:pPr>
      <w:spacing w:after="0" w:line="240" w:lineRule="auto"/>
      <w:jc w:val="center"/>
    </w:pPr>
    <w:r>
      <w:rPr>
        <w:noProof/>
      </w:rPr>
      <w:drawing>
        <wp:inline distT="0" distB="0" distL="0" distR="0">
          <wp:extent cx="782320" cy="687705"/>
          <wp:effectExtent l="0" t="0" r="0" b="0"/>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782320" cy="687705"/>
                  </a:xfrm>
                  <a:prstGeom prst="rect">
                    <a:avLst/>
                  </a:prstGeom>
                </pic:spPr>
              </pic:pic>
            </a:graphicData>
          </a:graphic>
        </wp:inline>
      </w:drawing>
    </w:r>
  </w:p>
  <w:p w:rsidR="003378E7" w:rsidRPr="0085016B" w:rsidRDefault="000B177D">
    <w:pPr>
      <w:spacing w:after="0" w:line="240" w:lineRule="auto"/>
      <w:jc w:val="center"/>
      <w:rPr>
        <w:rFonts w:ascii="Times New Roman" w:hAnsi="Times New Roman" w:cs="Times New Roman"/>
        <w:b/>
        <w:bCs/>
        <w:sz w:val="24"/>
        <w:szCs w:val="24"/>
      </w:rPr>
    </w:pPr>
    <w:r w:rsidRPr="0085016B">
      <w:rPr>
        <w:rFonts w:ascii="Times New Roman" w:hAnsi="Times New Roman" w:cs="Times New Roman"/>
        <w:b/>
        <w:bCs/>
      </w:rPr>
      <w:t>ESTADO DO PARÁ</w:t>
    </w:r>
  </w:p>
  <w:p w:rsidR="003378E7" w:rsidRPr="0085016B" w:rsidRDefault="000B177D">
    <w:pPr>
      <w:spacing w:after="0" w:line="240" w:lineRule="auto"/>
      <w:jc w:val="center"/>
      <w:rPr>
        <w:rFonts w:ascii="Times New Roman" w:hAnsi="Times New Roman" w:cs="Times New Roman"/>
        <w:b/>
        <w:bCs/>
        <w:sz w:val="24"/>
        <w:szCs w:val="24"/>
      </w:rPr>
    </w:pPr>
    <w:r w:rsidRPr="0085016B">
      <w:rPr>
        <w:rFonts w:ascii="Times New Roman" w:hAnsi="Times New Roman" w:cs="Times New Roman"/>
        <w:b/>
        <w:bCs/>
      </w:rPr>
      <w:t>DEFENSORIA PÚBLICA</w:t>
    </w:r>
  </w:p>
  <w:p w:rsidR="003378E7" w:rsidRPr="0085016B" w:rsidRDefault="000B177D">
    <w:pPr>
      <w:pStyle w:val="Ttulo6"/>
      <w:spacing w:before="0" w:after="0" w:line="240" w:lineRule="auto"/>
      <w:jc w:val="center"/>
      <w:rPr>
        <w:rFonts w:ascii="Times New Roman" w:hAnsi="Times New Roman" w:cs="Times New Roman"/>
      </w:rPr>
    </w:pPr>
    <w:r w:rsidRPr="0085016B">
      <w:rPr>
        <w:rFonts w:ascii="Times New Roman" w:hAnsi="Times New Roman" w:cs="Times New Roman"/>
        <w:b/>
        <w:bCs/>
        <w:sz w:val="22"/>
        <w:szCs w:val="22"/>
      </w:rPr>
      <w:t>CONSELHO SUPERIOR</w:t>
    </w:r>
  </w:p>
  <w:p w:rsidR="003378E7" w:rsidRPr="0085016B" w:rsidRDefault="003378E7">
    <w:pPr>
      <w:pStyle w:val="Ttulo6"/>
      <w:spacing w:before="0" w:after="0" w:line="240" w:lineRule="auto"/>
      <w:jc w:val="center"/>
      <w:rPr>
        <w:rFonts w:ascii="Times New Roman" w:hAnsi="Times New Roman" w:cs="Times New Roman"/>
        <w:b/>
        <w:bCs/>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E7"/>
    <w:rsid w:val="000B177D"/>
    <w:rsid w:val="003378E7"/>
    <w:rsid w:val="003521CE"/>
    <w:rsid w:val="0085016B"/>
    <w:rsid w:val="00C85F4C"/>
    <w:rsid w:val="00CE32D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44F15-1897-4F40-91D1-254F3E4E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color w:val="00000A"/>
      <w:sz w:val="22"/>
    </w:rPr>
  </w:style>
  <w:style w:type="paragraph" w:styleId="Ttulo6">
    <w:name w:val="heading 6"/>
    <w:basedOn w:val="Ttulododocumento"/>
    <w:pPr>
      <w:outlineLvl w:val="5"/>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notaderodapChar">
    <w:name w:val="Texto de nota de rodapé Char"/>
    <w:basedOn w:val="Fontepargpadro"/>
    <w:link w:val="Textodenotaderodap"/>
    <w:uiPriority w:val="99"/>
    <w:semiHidden/>
    <w:qFormat/>
    <w:rsid w:val="001B1DF6"/>
    <w:rPr>
      <w:sz w:val="20"/>
      <w:szCs w:val="20"/>
    </w:rPr>
  </w:style>
  <w:style w:type="character" w:styleId="Refdenotaderodap">
    <w:name w:val="footnote reference"/>
    <w:basedOn w:val="Fontepargpadro"/>
    <w:uiPriority w:val="99"/>
    <w:semiHidden/>
    <w:unhideWhenUsed/>
    <w:qFormat/>
    <w:rsid w:val="001B1DF6"/>
    <w:rPr>
      <w:vertAlign w:val="superscript"/>
    </w:rPr>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bealhoChar">
    <w:name w:val="Cabeçalho Char"/>
    <w:qFormat/>
    <w:rPr>
      <w:sz w:val="24"/>
    </w:rPr>
  </w:style>
  <w:style w:type="character" w:customStyle="1" w:styleId="AssuntodocomentrioChar">
    <w:name w:val="Assunto do comentário Char"/>
    <w:qFormat/>
    <w:rPr>
      <w:b/>
    </w:rPr>
  </w:style>
  <w:style w:type="character" w:customStyle="1" w:styleId="TextodecomentrioChar">
    <w:name w:val="Texto de comentário Char"/>
    <w:qFormat/>
  </w:style>
  <w:style w:type="character" w:customStyle="1" w:styleId="Refdecomentrio1">
    <w:name w:val="Ref. de comentário1"/>
    <w:qFormat/>
    <w:rPr>
      <w:sz w:val="16"/>
    </w:rPr>
  </w:style>
  <w:style w:type="character" w:customStyle="1" w:styleId="RecuodecorpodetextoChar">
    <w:name w:val="Recuo de corpo de texto Char"/>
    <w:qFormat/>
    <w:rPr>
      <w:sz w:val="24"/>
    </w:rPr>
  </w:style>
  <w:style w:type="character" w:customStyle="1" w:styleId="Recuodecorpodetexto2Char">
    <w:name w:val="Recuo de corpo de texto 2 Char"/>
    <w:qFormat/>
    <w:rPr>
      <w:sz w:val="24"/>
    </w:rPr>
  </w:style>
  <w:style w:type="character" w:customStyle="1" w:styleId="apple-converted-space">
    <w:name w:val="apple-converted-space"/>
    <w:qFormat/>
  </w:style>
  <w:style w:type="character" w:customStyle="1" w:styleId="CorpodetextoChar">
    <w:name w:val="Corpo de texto Char"/>
    <w:qFormat/>
    <w:rPr>
      <w:rFonts w:ascii="Verdana" w:eastAsia="Verdana" w:hAnsi="Verdana"/>
      <w:sz w:val="22"/>
    </w:rPr>
  </w:style>
  <w:style w:type="character" w:customStyle="1" w:styleId="yiv620471054apple-converted-space">
    <w:name w:val="yiv620471054apple-converted-space"/>
    <w:qFormat/>
  </w:style>
  <w:style w:type="character" w:customStyle="1" w:styleId="Ttulo6Char">
    <w:name w:val="Título 6 Char"/>
    <w:qFormat/>
    <w:rPr>
      <w:rFonts w:eastAsia="Tahoma"/>
      <w:b/>
      <w:sz w:val="32"/>
    </w:rPr>
  </w:style>
  <w:style w:type="character" w:customStyle="1" w:styleId="Ttulo7Char">
    <w:name w:val="Título 7 Char"/>
    <w:qFormat/>
    <w:rPr>
      <w:sz w:val="24"/>
    </w:rPr>
  </w:style>
  <w:style w:type="character" w:customStyle="1" w:styleId="TextodebaloChar">
    <w:name w:val="Texto de balão Char"/>
    <w:qFormat/>
    <w:rPr>
      <w:rFonts w:ascii="Tahoma" w:eastAsia="Tahoma" w:hAnsi="Tahoma"/>
      <w:sz w:val="16"/>
    </w:rPr>
  </w:style>
  <w:style w:type="character" w:customStyle="1" w:styleId="Ttulo2Char">
    <w:name w:val="Título 2 Char"/>
    <w:qFormat/>
    <w:rPr>
      <w:rFonts w:ascii="Cambria" w:eastAsia="Times New Roman" w:hAnsi="Cambria"/>
      <w:b/>
      <w:i/>
      <w:sz w:val="28"/>
    </w:rPr>
  </w:style>
  <w:style w:type="character" w:customStyle="1" w:styleId="Fontepargpadro1">
    <w:name w:val="Fonte parág. padrão1"/>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rPr>
      <w:b/>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color w:val="00000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b/>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style>
  <w:style w:type="character" w:customStyle="1" w:styleId="WW8Num7z2">
    <w:name w:val="WW8Num7z2"/>
    <w:qFormat/>
    <w:rPr>
      <w:rFonts w:ascii="Wingdings" w:eastAsia="Wingdings" w:hAnsi="Wingdings"/>
    </w:rPr>
  </w:style>
  <w:style w:type="character" w:customStyle="1" w:styleId="WW8Num7z1">
    <w:name w:val="WW8Num7z1"/>
    <w:qFormat/>
    <w:rPr>
      <w:rFonts w:ascii="Courier New" w:eastAsia="Courier New" w:hAnsi="Courier New"/>
    </w:rPr>
  </w:style>
  <w:style w:type="character" w:customStyle="1" w:styleId="WW8Num7z0">
    <w:name w:val="WW8Num7z0"/>
    <w:qFormat/>
    <w:rPr>
      <w:rFonts w:ascii="Symbol" w:eastAsia="Symbol" w:hAnsi="Symbol"/>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rPr>
      <w:b/>
      <w:color w:val="000000"/>
    </w:rPr>
  </w:style>
  <w:style w:type="character" w:customStyle="1" w:styleId="WW8Num4z0">
    <w:name w:val="WW8Num4z0"/>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Ttulododocumento">
    <w:name w:val="Título do documento"/>
    <w:basedOn w:val="Normal"/>
    <w:qFormat/>
    <w:pPr>
      <w:keepNext/>
      <w:spacing w:before="240" w:after="120"/>
    </w:pPr>
    <w:rPr>
      <w:rFonts w:ascii="Liberation Sans" w:eastAsia="Microsoft YaHei" w:hAnsi="Liberation Sans" w:cs="Mangal"/>
      <w:sz w:val="28"/>
      <w:szCs w:val="28"/>
    </w:rPr>
  </w:style>
  <w:style w:type="paragraph" w:styleId="NormalWeb">
    <w:name w:val="Normal (Web)"/>
    <w:basedOn w:val="Normal"/>
    <w:uiPriority w:val="99"/>
    <w:semiHidden/>
    <w:unhideWhenUsed/>
    <w:qFormat/>
    <w:rsid w:val="00456ABF"/>
    <w:pPr>
      <w:spacing w:beforeAutospacing="1" w:afterAutospacing="1"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semiHidden/>
    <w:unhideWhenUsed/>
    <w:qFormat/>
    <w:rsid w:val="001B1DF6"/>
    <w:pPr>
      <w:spacing w:after="0" w:line="240" w:lineRule="auto"/>
    </w:pPr>
    <w:rPr>
      <w:sz w:val="20"/>
      <w:szCs w:val="20"/>
    </w:rPr>
  </w:style>
  <w:style w:type="paragraph" w:customStyle="1" w:styleId="Notaderodap">
    <w:name w:val="Nota de rodapé"/>
    <w:basedOn w:val="Normal"/>
  </w:style>
  <w:style w:type="paragraph" w:styleId="Cabealho">
    <w:name w:val="header"/>
    <w:basedOn w:val="Normal"/>
  </w:style>
  <w:style w:type="paragraph" w:styleId="Assuntodocomentrio">
    <w:name w:val="annotation subject"/>
    <w:qFormat/>
    <w:pPr>
      <w:suppressAutoHyphens/>
    </w:pPr>
    <w:rPr>
      <w:rFonts w:ascii="Times New Roman" w:eastAsia="Times New Roman" w:hAnsi="Times New Roman"/>
      <w:b/>
      <w:color w:val="000000"/>
      <w:lang w:eastAsia="ar-SA"/>
    </w:rPr>
  </w:style>
  <w:style w:type="paragraph" w:customStyle="1" w:styleId="Textodecomentrio1">
    <w:name w:val="Texto de comentário1"/>
    <w:basedOn w:val="Normal"/>
    <w:qFormat/>
    <w:pPr>
      <w:suppressAutoHyphens/>
    </w:pPr>
    <w:rPr>
      <w:rFonts w:ascii="Times New Roman" w:eastAsia="Times New Roman" w:hAnsi="Times New Roman"/>
      <w:color w:val="000000"/>
      <w:sz w:val="20"/>
      <w:lang w:eastAsia="ar-SA"/>
    </w:rPr>
  </w:style>
  <w:style w:type="paragraph" w:customStyle="1" w:styleId="Estilo">
    <w:name w:val="Estilo"/>
    <w:qFormat/>
    <w:pPr>
      <w:widowControl w:val="0"/>
      <w:suppressAutoHyphens/>
    </w:pPr>
    <w:rPr>
      <w:rFonts w:ascii="Arial" w:eastAsia="Arial" w:hAnsi="Arial" w:cs="Liberation Serif"/>
      <w:color w:val="000000"/>
      <w:sz w:val="24"/>
      <w:szCs w:val="24"/>
      <w:lang w:eastAsia="ar-SA"/>
    </w:rPr>
  </w:style>
  <w:style w:type="paragraph" w:customStyle="1" w:styleId="Recuodecorpodetexto22">
    <w:name w:val="Recuo de corpo de texto 22"/>
    <w:basedOn w:val="Normal"/>
    <w:qFormat/>
    <w:pPr>
      <w:suppressAutoHyphens/>
      <w:spacing w:after="120" w:line="480" w:lineRule="auto"/>
      <w:ind w:left="283"/>
    </w:pPr>
    <w:rPr>
      <w:rFonts w:ascii="Times New Roman" w:eastAsia="Times New Roman" w:hAnsi="Times New Roman"/>
      <w:color w:val="000000"/>
      <w:sz w:val="20"/>
      <w:lang w:eastAsia="ar-SA"/>
    </w:rPr>
  </w:style>
  <w:style w:type="paragraph" w:styleId="Corpodetexto2">
    <w:name w:val="Body Text 2"/>
    <w:basedOn w:val="Normal"/>
    <w:qFormat/>
    <w:pPr>
      <w:suppressAutoHyphens/>
      <w:ind w:firstLine="1701"/>
      <w:jc w:val="both"/>
    </w:pPr>
    <w:rPr>
      <w:rFonts w:ascii="Bookman Old Style" w:eastAsia="Bookman Old Style" w:hAnsi="Bookman Old Style"/>
      <w:color w:val="000000"/>
      <w:sz w:val="28"/>
      <w:lang w:eastAsia="ar-SA"/>
    </w:rPr>
  </w:style>
  <w:style w:type="paragraph" w:customStyle="1" w:styleId="artigo">
    <w:name w:val="artigo"/>
    <w:basedOn w:val="Normal"/>
    <w:qFormat/>
    <w:pPr>
      <w:suppressAutoHyphens/>
      <w:spacing w:before="280" w:after="280"/>
    </w:pPr>
    <w:rPr>
      <w:rFonts w:ascii="Times New Roman" w:eastAsia="Times New Roman" w:hAnsi="Times New Roman"/>
      <w:color w:val="000000"/>
      <w:sz w:val="24"/>
      <w:lang w:eastAsia="ar-SA"/>
    </w:rPr>
  </w:style>
  <w:style w:type="paragraph" w:customStyle="1" w:styleId="estilo1">
    <w:name w:val="estilo1"/>
    <w:basedOn w:val="Normal"/>
    <w:qFormat/>
    <w:pPr>
      <w:suppressAutoHyphens/>
      <w:spacing w:before="280" w:after="280"/>
    </w:pPr>
    <w:rPr>
      <w:rFonts w:ascii="Times New Roman" w:eastAsia="Times New Roman" w:hAnsi="Times New Roman"/>
      <w:color w:val="000000"/>
      <w:sz w:val="24"/>
      <w:lang w:eastAsia="ar-SA"/>
    </w:rPr>
  </w:style>
  <w:style w:type="paragraph" w:customStyle="1" w:styleId="estilo10">
    <w:name w:val="estilo10"/>
    <w:basedOn w:val="Normal"/>
    <w:qFormat/>
    <w:pPr>
      <w:suppressAutoHyphens/>
      <w:spacing w:before="280" w:after="280"/>
    </w:pPr>
    <w:rPr>
      <w:rFonts w:ascii="Times New Roman" w:eastAsia="Times New Roman" w:hAnsi="Times New Roman"/>
      <w:color w:val="000000"/>
      <w:sz w:val="24"/>
      <w:lang w:eastAsia="ar-SA"/>
    </w:rPr>
  </w:style>
  <w:style w:type="paragraph" w:customStyle="1" w:styleId="Recuodecorpodetexto21">
    <w:name w:val="Recuo de corpo de texto 21"/>
    <w:basedOn w:val="Normal"/>
    <w:qFormat/>
    <w:pPr>
      <w:suppressAutoHyphens/>
      <w:spacing w:after="120" w:line="480" w:lineRule="auto"/>
      <w:ind w:left="283"/>
    </w:pPr>
    <w:rPr>
      <w:rFonts w:ascii="Times New Roman" w:eastAsia="Times New Roman" w:hAnsi="Times New Roman"/>
      <w:color w:val="000000"/>
      <w:sz w:val="24"/>
      <w:lang w:eastAsia="ar-SA"/>
    </w:rPr>
  </w:style>
  <w:style w:type="paragraph" w:customStyle="1" w:styleId="Default">
    <w:name w:val="Default"/>
    <w:qFormat/>
    <w:pPr>
      <w:suppressAutoHyphens/>
    </w:pPr>
    <w:rPr>
      <w:rFonts w:ascii="Georgia" w:eastAsia="Georgia" w:hAnsi="Georgia" w:cs="Liberation Serif"/>
      <w:color w:val="000000"/>
      <w:sz w:val="24"/>
      <w:szCs w:val="24"/>
      <w:lang w:eastAsia="ar-SA"/>
    </w:rPr>
  </w:style>
  <w:style w:type="paragraph" w:customStyle="1" w:styleId="yiv620471054msonormal">
    <w:name w:val="yiv620471054msonormal"/>
    <w:basedOn w:val="Normal"/>
    <w:qFormat/>
    <w:pPr>
      <w:suppressAutoHyphens/>
      <w:spacing w:before="280" w:after="280"/>
    </w:pPr>
    <w:rPr>
      <w:rFonts w:ascii="Times New Roman" w:eastAsia="Times New Roman" w:hAnsi="Times New Roman"/>
      <w:color w:val="000000"/>
      <w:sz w:val="24"/>
      <w:lang w:eastAsia="ar-SA"/>
    </w:rPr>
  </w:style>
  <w:style w:type="paragraph" w:customStyle="1" w:styleId="yiv868846938msonormal">
    <w:name w:val="yiv868846938msonormal"/>
    <w:basedOn w:val="Normal"/>
    <w:qFormat/>
    <w:pPr>
      <w:suppressAutoHyphens/>
      <w:spacing w:before="280" w:after="280"/>
    </w:pPr>
    <w:rPr>
      <w:rFonts w:ascii="Times New Roman" w:eastAsia="Times New Roman" w:hAnsi="Times New Roman"/>
      <w:color w:val="000000"/>
      <w:sz w:val="24"/>
      <w:lang w:eastAsia="ar-SA"/>
    </w:rPr>
  </w:style>
  <w:style w:type="paragraph" w:styleId="Textodebalo">
    <w:name w:val="Balloon Text"/>
    <w:basedOn w:val="Normal"/>
    <w:qFormat/>
    <w:pPr>
      <w:suppressAutoHyphens/>
    </w:pPr>
    <w:rPr>
      <w:rFonts w:ascii="Tahoma" w:eastAsia="Tahoma" w:hAnsi="Tahoma"/>
      <w:color w:val="000000"/>
      <w:sz w:val="16"/>
      <w:lang w:eastAsia="ar-SA"/>
    </w:rPr>
  </w:style>
  <w:style w:type="paragraph" w:customStyle="1" w:styleId="msonormalcxsplast">
    <w:name w:val="msonormalcxsplast"/>
    <w:basedOn w:val="Normal"/>
    <w:qFormat/>
    <w:pPr>
      <w:suppressAutoHyphens/>
      <w:spacing w:before="280" w:after="280"/>
    </w:pPr>
    <w:rPr>
      <w:rFonts w:ascii="Times New Roman" w:eastAsia="Times New Roman" w:hAnsi="Times New Roman"/>
      <w:color w:val="000000"/>
      <w:sz w:val="24"/>
      <w:lang w:eastAsia="ar-SA"/>
    </w:rPr>
  </w:style>
  <w:style w:type="paragraph" w:styleId="PargrafodaLista">
    <w:name w:val="List Paragraph"/>
    <w:basedOn w:val="Normal"/>
    <w:qFormat/>
    <w:pPr>
      <w:suppressAutoHyphens/>
      <w:ind w:left="708"/>
    </w:pPr>
    <w:rPr>
      <w:rFonts w:ascii="Calibri" w:eastAsia="Calibri" w:hAnsi="Calibri"/>
      <w:color w:val="000000"/>
      <w:lang w:eastAsia="ar-SA"/>
    </w:rPr>
  </w:style>
  <w:style w:type="paragraph" w:customStyle="1" w:styleId="msonormalcxspmiddle">
    <w:name w:val="msonormalcxspmiddle"/>
    <w:basedOn w:val="Normal"/>
    <w:qFormat/>
    <w:pPr>
      <w:suppressAutoHyphens/>
      <w:spacing w:before="280" w:after="280"/>
    </w:pPr>
    <w:rPr>
      <w:rFonts w:ascii="Times New Roman" w:eastAsia="Times New Roman" w:hAnsi="Times New Roman"/>
      <w:color w:val="000000"/>
      <w:sz w:val="24"/>
      <w:lang w:eastAsia="ar-SA"/>
    </w:rPr>
  </w:style>
  <w:style w:type="paragraph" w:customStyle="1" w:styleId="western">
    <w:name w:val="western"/>
    <w:basedOn w:val="Normal"/>
    <w:qFormat/>
    <w:pPr>
      <w:suppressAutoHyphens/>
      <w:spacing w:before="280" w:after="280"/>
    </w:pPr>
    <w:rPr>
      <w:rFonts w:ascii="Times New Roman" w:eastAsia="Times New Roman" w:hAnsi="Times New Roman"/>
      <w:color w:val="000000"/>
      <w:sz w:val="24"/>
      <w:lang w:eastAsia="ar-SA"/>
    </w:rPr>
  </w:style>
  <w:style w:type="paragraph" w:customStyle="1" w:styleId="WW-Legenda">
    <w:name w:val="WW-Legenda"/>
    <w:basedOn w:val="Normal"/>
    <w:qFormat/>
    <w:pPr>
      <w:widowControl w:val="0"/>
      <w:suppressAutoHyphens/>
      <w:jc w:val="both"/>
    </w:pPr>
    <w:rPr>
      <w:rFonts w:ascii="Times New Roman" w:eastAsia="Tahoma" w:hAnsi="Times New Roman"/>
      <w:b/>
      <w:color w:val="000000"/>
      <w:sz w:val="24"/>
      <w:lang w:eastAsia="ar-SA"/>
    </w:rPr>
  </w:style>
  <w:style w:type="paragraph" w:customStyle="1" w:styleId="Ttulo1">
    <w:name w:val="Título1"/>
    <w:basedOn w:val="Normal"/>
    <w:qFormat/>
    <w:pPr>
      <w:keepNext/>
      <w:suppressAutoHyphens/>
      <w:spacing w:before="240" w:after="120"/>
    </w:pPr>
    <w:rPr>
      <w:rFonts w:ascii="Liberation Sans" w:eastAsia="Mangal" w:hAnsi="Liberation Sans"/>
      <w:color w:val="000000"/>
      <w:sz w:val="28"/>
      <w:lang w:eastAsia="ar-SA"/>
    </w:rPr>
  </w:style>
  <w:style w:type="paragraph" w:customStyle="1" w:styleId="Contedodatabela">
    <w:name w:val="Conteúdo da tabela"/>
    <w:basedOn w:val="Normal"/>
    <w:qFormat/>
  </w:style>
  <w:style w:type="paragraph" w:customStyle="1" w:styleId="Ttulodetabela">
    <w:name w:val="Título de tabela"/>
    <w:basedOn w:val="Contedodatabela"/>
    <w:qFormat/>
  </w:style>
  <w:style w:type="paragraph" w:styleId="Rodap">
    <w:name w:val="footer"/>
    <w:basedOn w:val="Normal"/>
    <w:link w:val="RodapChar"/>
    <w:uiPriority w:val="99"/>
    <w:unhideWhenUsed/>
    <w:rsid w:val="0085016B"/>
    <w:pPr>
      <w:tabs>
        <w:tab w:val="center" w:pos="4252"/>
        <w:tab w:val="right" w:pos="8504"/>
      </w:tabs>
      <w:spacing w:after="0" w:line="240" w:lineRule="auto"/>
    </w:pPr>
  </w:style>
  <w:style w:type="character" w:customStyle="1" w:styleId="RodapChar">
    <w:name w:val="Rodapé Char"/>
    <w:basedOn w:val="Fontepargpadro"/>
    <w:link w:val="Rodap"/>
    <w:uiPriority w:val="99"/>
    <w:rsid w:val="0085016B"/>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DE4BA-6089-4A83-9FA9-FAA991D0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5865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antonio.monteiro</dc:creator>
  <cp:lastModifiedBy>Balcão de Direitos</cp:lastModifiedBy>
  <cp:revision>2</cp:revision>
  <cp:lastPrinted>2017-12-07T13:03:00Z</cp:lastPrinted>
  <dcterms:created xsi:type="dcterms:W3CDTF">2017-12-18T18:20:00Z</dcterms:created>
  <dcterms:modified xsi:type="dcterms:W3CDTF">2017-12-18T18:20:00Z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